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15" w:rsidRDefault="00085515" w:rsidP="00085515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Jose Rojas [mailto:jose.rojas@redsalud.gov.cl]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Pr="00A158D8">
        <w:rPr>
          <w:rFonts w:ascii="Tahoma" w:eastAsia="Times New Roman" w:hAnsi="Tahoma" w:cs="Tahoma"/>
          <w:color w:val="FF0000"/>
          <w:sz w:val="20"/>
          <w:szCs w:val="20"/>
          <w:lang w:val="es-ES"/>
        </w:rPr>
        <w:t>miércoles, 25 de noviembre de 2015 15:22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'Ramiro Zepeda Iriarte'; 'Mario Henriquez'; 'patricio.vera@redsalud.gov.cl'; 'andrea.quiero@redsalud.gob.cl'; 'paz.rodriguez@redsalud.gov.cl'; 'Enrique Veas Rioseco'; 'Pablo Andres Salinas Carrizo'; 'patricia.gonzalezch@redsalud.gob.cl'; 'daniel.delrio@redsalud.gov.cl'; 'cristian.heider@redsalud.gov.cl'; 'Veronica Navarrete'; 'Claudia Fuenzalida Avila'; 'Cecilia Digmann'; 'Katherine Barra C.'; 'Delfina Aguirre'; 'Andrea Arroyo '; 'Eduardo Bartolome'; 'Maria Brito'; 'Manuel Rojas Araya'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'Jorge martinez'; 'Alexander Perez Mendez'; 'renato.chacon@redsalud.gov.cl'; 'rodrigo.arayap@redsalud.gob.cl'; 'claudio.arratia@redsalud.gov.cl'; 'margarita.vergara1@redsalud.gov.cl'; 'Rafael Garcia'; 'Katherine Veliz Perez'; 'javier.aldoney@redsalud.gov.cl'; 'Vilma Aguila'; 'Virginia Jil Pizarro'; 'Gabriel Parra'; 'Adehemir Castro'; 'Guillermo Saffie'; 'Jose Rojas'; 'Alejandra Azocar Santoro'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RV: CONCURSOS MINISTERIALES DE ESPECIALISTAS E INGRESO A LAS SUBESPECIALIDADES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Importancia: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Alta</w:t>
      </w:r>
    </w:p>
    <w:p w:rsidR="00085515" w:rsidRDefault="00085515" w:rsidP="00085515"/>
    <w:p w:rsidR="00085515" w:rsidRDefault="00085515" w:rsidP="00085515">
      <w:pPr>
        <w:jc w:val="both"/>
        <w:rPr>
          <w:color w:val="1F497D"/>
        </w:rPr>
      </w:pPr>
      <w:r>
        <w:rPr>
          <w:color w:val="1F497D"/>
        </w:rPr>
        <w:t>Estimados directivos y jefaturas, buenas tardes.</w:t>
      </w:r>
    </w:p>
    <w:p w:rsidR="00085515" w:rsidRDefault="00085515" w:rsidP="00085515">
      <w:pPr>
        <w:jc w:val="both"/>
        <w:rPr>
          <w:color w:val="1F497D"/>
        </w:rPr>
      </w:pPr>
    </w:p>
    <w:p w:rsidR="00085515" w:rsidRDefault="00085515" w:rsidP="00085515">
      <w:pPr>
        <w:jc w:val="both"/>
        <w:rPr>
          <w:color w:val="1F497D"/>
        </w:rPr>
      </w:pPr>
      <w:r>
        <w:rPr>
          <w:color w:val="1F497D"/>
        </w:rPr>
        <w:t xml:space="preserve">En materia de patrocinios para participar en programas de especialización o </w:t>
      </w:r>
      <w:proofErr w:type="spellStart"/>
      <w:r>
        <w:rPr>
          <w:color w:val="1F497D"/>
        </w:rPr>
        <w:t>subespecialización</w:t>
      </w:r>
      <w:proofErr w:type="spellEnd"/>
      <w:r>
        <w:rPr>
          <w:color w:val="1F497D"/>
        </w:rPr>
        <w:t xml:space="preserve">, médica u odontológica, dado que ustedes reciben consultas locales o externas de médicos u odontólogos interesados en recibir apoyo o patrocinio para financiamiento de programas de especialización (sea para ingresar a programas nuevos o en desarrollo, como autofinanciados) al respecto, se reitera la política ministerial sobre la materia indicada en correo precedente desde la </w:t>
      </w:r>
      <w:proofErr w:type="spellStart"/>
      <w:r>
        <w:rPr>
          <w:color w:val="1F497D"/>
        </w:rPr>
        <w:t>UDB</w:t>
      </w:r>
      <w:proofErr w:type="spellEnd"/>
      <w:r>
        <w:rPr>
          <w:color w:val="1F497D"/>
        </w:rPr>
        <w:t xml:space="preserve"> ministerial, para que puedan orientar a los interesados:</w:t>
      </w:r>
    </w:p>
    <w:p w:rsidR="00085515" w:rsidRDefault="00085515" w:rsidP="00085515">
      <w:pPr>
        <w:jc w:val="both"/>
        <w:rPr>
          <w:color w:val="1F497D"/>
        </w:rPr>
      </w:pPr>
    </w:p>
    <w:p w:rsidR="00085515" w:rsidRDefault="00085515" w:rsidP="00085515">
      <w:pPr>
        <w:pStyle w:val="Prrafodelista"/>
        <w:numPr>
          <w:ilvl w:val="0"/>
          <w:numId w:val="1"/>
        </w:numPr>
        <w:jc w:val="both"/>
      </w:pPr>
      <w:r>
        <w:t>No pueden ser aceptados profesionales autofinanciados que ingresen o se encuentren en programas de Especialización y que soliciten patrocinio con compromiso de devolución</w:t>
      </w:r>
      <w:r>
        <w:rPr>
          <w:u w:val="single"/>
        </w:rPr>
        <w:t xml:space="preserve"> </w:t>
      </w:r>
      <w:r>
        <w:t>(dictamen 65651N13 de la Contraloría General de la República).</w:t>
      </w:r>
    </w:p>
    <w:p w:rsidR="00085515" w:rsidRDefault="00085515" w:rsidP="00085515">
      <w:pPr>
        <w:pStyle w:val="Prrafodelista"/>
        <w:numPr>
          <w:ilvl w:val="0"/>
          <w:numId w:val="1"/>
        </w:numPr>
        <w:jc w:val="both"/>
      </w:pPr>
      <w:r>
        <w:t>La forma de ingreso a una Beca ministerial o patrocinada apoyada por el Servicio para realizar una especialización es a través de concurso (ayer les derivé un correo con información actual sobre los concursos 2015 dispuestos para acceder a becas de especialización).</w:t>
      </w:r>
    </w:p>
    <w:p w:rsidR="00085515" w:rsidRDefault="00085515" w:rsidP="00085515">
      <w:pPr>
        <w:pStyle w:val="Prrafodelista"/>
        <w:numPr>
          <w:ilvl w:val="0"/>
          <w:numId w:val="1"/>
        </w:numPr>
        <w:jc w:val="both"/>
      </w:pPr>
      <w:r>
        <w:t xml:space="preserve">En materia de </w:t>
      </w:r>
      <w:r>
        <w:rPr>
          <w:b/>
          <w:bCs/>
        </w:rPr>
        <w:t>subespecialidades (o especialidades derivadas</w:t>
      </w:r>
      <w:r>
        <w:t xml:space="preserve">), esta sí pueden ser apoyadas pero deben contar con la </w:t>
      </w:r>
      <w:proofErr w:type="spellStart"/>
      <w:r>
        <w:t>visación</w:t>
      </w:r>
      <w:proofErr w:type="spellEnd"/>
      <w:r>
        <w:t xml:space="preserve"> local y del Servicio (patrocinio del Director del establecimiento y Director de Servicio</w:t>
      </w:r>
      <w:r>
        <w:rPr>
          <w:b/>
          <w:bCs/>
        </w:rPr>
        <w:t xml:space="preserve">) y </w:t>
      </w:r>
      <w:proofErr w:type="spellStart"/>
      <w:r>
        <w:rPr>
          <w:b/>
          <w:bCs/>
        </w:rPr>
        <w:t>VºBº</w:t>
      </w:r>
      <w:proofErr w:type="spellEnd"/>
      <w:r>
        <w:rPr>
          <w:b/>
          <w:bCs/>
        </w:rPr>
        <w:t xml:space="preserve"> de la Subdirección de Gestión Asistencial del Servicio</w:t>
      </w:r>
      <w:r>
        <w:t xml:space="preserve">, las que serán apoyadas financieramente con recursos que aportará Minsal (derechos arancelarios y matrículas). Lo anterior, para </w:t>
      </w:r>
      <w:r>
        <w:rPr>
          <w:b/>
          <w:bCs/>
        </w:rPr>
        <w:t>profesionales funcionarios</w:t>
      </w:r>
      <w:r>
        <w:t xml:space="preserve"> que se desempeñan en la RED SSMC (art. 46 de la ley 19.664).</w:t>
      </w:r>
    </w:p>
    <w:p w:rsidR="00085515" w:rsidRDefault="00085515" w:rsidP="00085515">
      <w:pPr>
        <w:pStyle w:val="Prrafodelista"/>
        <w:numPr>
          <w:ilvl w:val="0"/>
          <w:numId w:val="1"/>
        </w:numPr>
        <w:jc w:val="both"/>
      </w:pPr>
      <w:r>
        <w:t xml:space="preserve">Para aquellos profesionales que están cumpliendo PAO (Período Asistencial Obligatorio, que corresponde al compromiso de devolución post beca), se apoyarán las </w:t>
      </w:r>
      <w:proofErr w:type="spellStart"/>
      <w:r>
        <w:t>subespecializaciones</w:t>
      </w:r>
      <w:proofErr w:type="spellEnd"/>
      <w:r>
        <w:t xml:space="preserve"> en los mismos términos señalados anteriormente, pero deberán firmar una nueva garantía (escritura pública) y los años se sumaran a su devolución de la beca primaria, de acuerdo al marco regulatorio de cumplimiento de los períodos de devolución.</w:t>
      </w:r>
    </w:p>
    <w:p w:rsidR="00085515" w:rsidRDefault="00085515" w:rsidP="00085515">
      <w:pPr>
        <w:pStyle w:val="Prrafodelista"/>
        <w:numPr>
          <w:ilvl w:val="0"/>
          <w:numId w:val="1"/>
        </w:numPr>
        <w:jc w:val="both"/>
      </w:pPr>
      <w:r>
        <w:t>Sobre l punto anterior, la recomendación ministerial vigente desde 2011, es que los profesionales especialistas, a lo menos hayan devuelto 2 años de la beca primaria.</w:t>
      </w:r>
    </w:p>
    <w:p w:rsidR="00085515" w:rsidRDefault="00085515" w:rsidP="00085515">
      <w:pPr>
        <w:pStyle w:val="Prrafodelista"/>
        <w:numPr>
          <w:ilvl w:val="0"/>
          <w:numId w:val="1"/>
        </w:numPr>
        <w:jc w:val="both"/>
        <w:rPr>
          <w:color w:val="1F497D"/>
        </w:rPr>
      </w:pPr>
      <w:r>
        <w:t xml:space="preserve">Los citados patrocinios para </w:t>
      </w:r>
      <w:proofErr w:type="spellStart"/>
      <w:r>
        <w:t>subespecializaciones</w:t>
      </w:r>
      <w:proofErr w:type="spellEnd"/>
      <w:r>
        <w:t xml:space="preserve"> que concedan los Directores de establecimientos y Director de Servicio, deberán estar en concordancia los polos de desarrollos impulsados por la División de Gestión de Redes Asistenciales (</w:t>
      </w:r>
      <w:proofErr w:type="spellStart"/>
      <w:r>
        <w:t>DIGERA</w:t>
      </w:r>
      <w:proofErr w:type="spellEnd"/>
      <w:r>
        <w:t>) y por las prioridades clínico asistenciales de la Red del Servicio.</w:t>
      </w:r>
    </w:p>
    <w:p w:rsidR="00085515" w:rsidRDefault="00085515" w:rsidP="00085515">
      <w:pPr>
        <w:pStyle w:val="Prrafodelista"/>
        <w:rPr>
          <w:color w:val="1F497D"/>
        </w:rPr>
      </w:pPr>
    </w:p>
    <w:p w:rsidR="00085515" w:rsidRDefault="00085515" w:rsidP="00085515">
      <w:pPr>
        <w:rPr>
          <w:color w:val="1F497D"/>
        </w:rPr>
      </w:pPr>
      <w:r>
        <w:rPr>
          <w:color w:val="1F497D"/>
        </w:rPr>
        <w:t>Esperando que esta información les sea de su utilidad, saluda cordialmente.</w:t>
      </w:r>
    </w:p>
    <w:p w:rsidR="00085515" w:rsidRDefault="00085515" w:rsidP="00085515">
      <w:pPr>
        <w:rPr>
          <w:color w:val="1F497D"/>
        </w:rPr>
      </w:pPr>
    </w:p>
    <w:p w:rsidR="00085515" w:rsidRDefault="00085515" w:rsidP="00085515">
      <w:pPr>
        <w:rPr>
          <w:color w:val="1F497D"/>
        </w:rPr>
      </w:pPr>
      <w:r>
        <w:rPr>
          <w:color w:val="1F497D"/>
        </w:rPr>
        <w:t xml:space="preserve">Cualquier duda, nos escriben. </w:t>
      </w:r>
    </w:p>
    <w:p w:rsidR="00085515" w:rsidRDefault="00085515" w:rsidP="00085515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1"/>
        <w:gridCol w:w="4882"/>
      </w:tblGrid>
      <w:tr w:rsidR="00085515" w:rsidTr="00085515">
        <w:trPr>
          <w:trHeight w:val="792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15" w:rsidRDefault="00085515">
            <w:pPr>
              <w:rPr>
                <w:color w:val="1F497D"/>
              </w:rPr>
            </w:pPr>
            <w:r>
              <w:rPr>
                <w:noProof/>
                <w:color w:val="000080"/>
              </w:rPr>
              <w:lastRenderedPageBreak/>
              <w:drawing>
                <wp:inline distT="0" distB="0" distL="0" distR="0">
                  <wp:extent cx="904240" cy="831215"/>
                  <wp:effectExtent l="19050" t="0" r="0" b="0"/>
                  <wp:docPr id="1" name="Imagen 1" descr="cid:image003.png@01CE4D85.C5A18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3.png@01CE4D85.C5A18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15" w:rsidRDefault="00085515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  <w:lang w:val="es-ES_tradnl"/>
              </w:rPr>
              <w:t>José Rojas Corales</w:t>
            </w:r>
          </w:p>
          <w:p w:rsidR="00085515" w:rsidRDefault="00085515">
            <w:pPr>
              <w:rPr>
                <w:rFonts w:ascii="Times New Roman" w:hAnsi="Times New Roman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  <w:t>Jefe Dpto. de Capacitación y Formación</w:t>
            </w:r>
          </w:p>
          <w:p w:rsidR="00085515" w:rsidRDefault="00085515">
            <w:pP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  <w:t xml:space="preserve">Servicio de Salud M. Central </w:t>
            </w:r>
            <w:hyperlink r:id="rId7" w:history="1">
              <w:r>
                <w:rPr>
                  <w:rStyle w:val="Hipervnculo"/>
                  <w:rFonts w:ascii="Century Gothic" w:hAnsi="Century Gothic"/>
                  <w:sz w:val="18"/>
                  <w:szCs w:val="18"/>
                  <w:lang w:val="es-ES_tradnl"/>
                </w:rPr>
                <w:t>www.ssmc.gob.cl</w:t>
              </w:r>
            </w:hyperlink>
          </w:p>
          <w:p w:rsidR="00085515" w:rsidRDefault="00085515">
            <w:pPr>
              <w:rPr>
                <w:color w:val="000080"/>
                <w:sz w:val="18"/>
                <w:szCs w:val="18"/>
              </w:rPr>
            </w:pPr>
            <w: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  <w:t>José Miguel de la Barra N° 536, piso 2, Santiago</w:t>
            </w:r>
          </w:p>
          <w:p w:rsidR="00085515" w:rsidRDefault="00085515">
            <w:pP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  <w:t>Fonos: 574 7005/06 / Red Minsal: 247005</w:t>
            </w:r>
          </w:p>
          <w:p w:rsidR="00085515" w:rsidRDefault="00085515">
            <w:pPr>
              <w:rPr>
                <w:color w:val="000080"/>
                <w:sz w:val="24"/>
                <w:szCs w:val="24"/>
              </w:rPr>
            </w:pPr>
            <w:r>
              <w:rPr>
                <w:rFonts w:ascii="Century Gothic" w:hAnsi="Century Gothic"/>
                <w:color w:val="000080"/>
                <w:sz w:val="18"/>
                <w:szCs w:val="18"/>
                <w:lang w:val="es-ES_tradnl"/>
              </w:rPr>
              <w:t>Móvil: 8-9211147</w:t>
            </w:r>
          </w:p>
        </w:tc>
      </w:tr>
    </w:tbl>
    <w:p w:rsidR="00E50E67" w:rsidRDefault="00E50E67"/>
    <w:sectPr w:rsidR="00E50E67" w:rsidSect="00085515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0ADB"/>
    <w:multiLevelType w:val="hybridMultilevel"/>
    <w:tmpl w:val="2FF88C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revisionView w:inkAnnotations="0"/>
  <w:defaultTabStop w:val="708"/>
  <w:hyphenationZone w:val="425"/>
  <w:characterSpacingControl w:val="doNotCompress"/>
  <w:compat/>
  <w:rsids>
    <w:rsidRoot w:val="00085515"/>
    <w:rsid w:val="00085515"/>
    <w:rsid w:val="00A158D8"/>
    <w:rsid w:val="00E222DC"/>
    <w:rsid w:val="00E366EA"/>
    <w:rsid w:val="00E5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15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55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551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5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515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c.gob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126F8.8F5767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Rojas</dc:creator>
  <cp:lastModifiedBy>Jose Rojas</cp:lastModifiedBy>
  <cp:revision>2</cp:revision>
  <dcterms:created xsi:type="dcterms:W3CDTF">2016-01-13T18:28:00Z</dcterms:created>
  <dcterms:modified xsi:type="dcterms:W3CDTF">2016-01-13T18:53:00Z</dcterms:modified>
</cp:coreProperties>
</file>